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7128"/>
      </w:tblGrid>
      <w:tr>
        <w:tc>
          <w:tcPr>
            <w:tcW w:type="dxa" w:w="5083"/>
            <w:shd w:fill="3975E9"/>
            <w:tcMar>
              <w:top w:w="100" w:type="dxa"/>
              <w:start w:w="135" w:type="dxa"/>
              <w:bottom w:w="100" w:type="dxa"/>
              <w:end w:w="13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教學案例</w:t>
            </w:r>
          </w:p>
        </w:tc>
        <w:tc>
          <w:tcPr>
            <w:tcW w:type="dxa" w:w="5083"/>
            <w:shd w:fill="EEF3FF"/>
            <w:tcMar>
              <w:top w:w="100" w:type="dxa"/>
              <w:start w:w="135" w:type="dxa"/>
              <w:bottom w:w="100" w:type="dxa"/>
              <w:end w:w="135" w:type="dxa"/>
            </w:tcMar>
            <w:vAlign w:val="center"/>
          </w:tcPr>
          <w:p>
            <w:r>
              <w:rPr>
                <w:b/>
                <w:color w:val="1F3362"/>
                <w:sz w:val="28"/>
              </w:rPr>
              <w:t>國小四年級｜分數單元教學背景</w:t>
            </w:r>
          </w:p>
        </w:tc>
      </w:tr>
    </w:tbl>
    <w:p>
      <w:pPr>
        <w:pStyle w:val="Subtitle"/>
      </w:pPr>
      <w:r>
        <w:t>主題：等值分數與分數比較　｜　班級：四年甲班（模擬）</w:t>
      </w:r>
    </w:p>
    <w:p>
      <w:pPr>
        <w:pStyle w:val="Heading1"/>
      </w:pPr>
      <w:r>
        <w:t>一、任務情境</w:t>
      </w:r>
    </w:p>
    <w:p>
      <w:r>
        <w:t>完成分數單元第一次教學後，教師發現學生能以圖示表示簡單分數，但在等值分數與分母不同的分數比較上仍有不穩定表現。請根據本文件、離場卷模擬資料與解題流程，設計一段 15 分鐘再次教學。</w:t>
      </w:r>
    </w:p>
    <w:p>
      <w:pPr>
        <w:pStyle w:val="Heading1"/>
      </w:pPr>
      <w:r>
        <w:t>二、學習目標</w:t>
      </w:r>
    </w:p>
    <w:p>
      <w:pPr>
        <w:pStyle w:val="ListBullet"/>
      </w:pPr>
      <w:r>
        <w:t>能用圖示、數線或等分概念說明 1/2 與 2/4 等值。</w:t>
      </w:r>
    </w:p>
    <w:p>
      <w:pPr>
        <w:pStyle w:val="ListBullet"/>
      </w:pPr>
      <w:r>
        <w:t>能先建立共同的比較基準，再比較分母不同的分數。</w:t>
      </w:r>
    </w:p>
    <w:p>
      <w:pPr>
        <w:pStyle w:val="ListBullet"/>
      </w:pPr>
      <w:r>
        <w:t>能用完整句子說明判斷理由，並檢查答案是否合理。</w:t>
      </w:r>
    </w:p>
    <w:p>
      <w:pPr>
        <w:pStyle w:val="Heading1"/>
      </w:pPr>
      <w:r>
        <w:t>三、已進行的教學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088"/>
            <w:shd w:fill="E8EEF5"/>
            <w:tcMar>
              <w:top w:w="45" w:type="dxa"/>
              <w:start w:w="105" w:type="dxa"/>
              <w:bottom w:w="45" w:type="dxa"/>
              <w:end w:w="105" w:type="dxa"/>
            </w:tcMar>
          </w:tcPr>
          <w:p>
            <w:r>
              <w:rPr>
                <w:b/>
                <w:color w:val="1F3362"/>
              </w:rPr>
              <w:t>教學活動</w:t>
            </w:r>
          </w:p>
        </w:tc>
        <w:tc>
          <w:tcPr>
            <w:tcW w:type="dxa" w:w="3384"/>
            <w:shd w:fill="E8EEF5"/>
            <w:tcMar>
              <w:top w:w="45" w:type="dxa"/>
              <w:start w:w="105" w:type="dxa"/>
              <w:bottom w:w="45" w:type="dxa"/>
              <w:end w:w="105" w:type="dxa"/>
            </w:tcMar>
          </w:tcPr>
          <w:p>
            <w:r>
              <w:rPr>
                <w:b/>
                <w:color w:val="1F3362"/>
              </w:rPr>
              <w:t>學生已有經驗</w:t>
            </w:r>
          </w:p>
        </w:tc>
        <w:tc>
          <w:tcPr>
            <w:tcW w:type="dxa" w:w="3888"/>
            <w:shd w:fill="E8EEF5"/>
            <w:tcMar>
              <w:top w:w="45" w:type="dxa"/>
              <w:start w:w="105" w:type="dxa"/>
              <w:bottom w:w="45" w:type="dxa"/>
              <w:end w:w="105" w:type="dxa"/>
            </w:tcMar>
          </w:tcPr>
          <w:p>
            <w:r>
              <w:rPr>
                <w:b/>
                <w:color w:val="1F3362"/>
              </w:rPr>
              <w:t>教師觀察</w:t>
            </w:r>
          </w:p>
        </w:tc>
      </w:tr>
      <w:tr>
        <w:tc>
          <w:tcPr>
            <w:tcW w:type="dxa" w:w="2088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圓形與長條等分</w:t>
            </w:r>
          </w:p>
        </w:tc>
        <w:tc>
          <w:tcPr>
            <w:tcW w:type="dxa" w:w="33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能辨識分子、分母</w:t>
            </w:r>
          </w:p>
        </w:tc>
        <w:tc>
          <w:tcPr>
            <w:tcW w:type="dxa" w:w="3888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部分學生只看數字大小</w:t>
            </w:r>
          </w:p>
        </w:tc>
      </w:tr>
      <w:tr>
        <w:tc>
          <w:tcPr>
            <w:tcW w:type="dxa" w:w="2088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同分母分數比較</w:t>
            </w:r>
          </w:p>
        </w:tc>
        <w:tc>
          <w:tcPr>
            <w:tcW w:type="dxa" w:w="33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多數能正確比較</w:t>
            </w:r>
          </w:p>
        </w:tc>
        <w:tc>
          <w:tcPr>
            <w:tcW w:type="dxa" w:w="3888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理由常只寫「因為比較大」</w:t>
            </w:r>
          </w:p>
        </w:tc>
      </w:tr>
      <w:tr>
        <w:tc>
          <w:tcPr>
            <w:tcW w:type="dxa" w:w="2088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等值分數操作</w:t>
            </w:r>
          </w:p>
        </w:tc>
        <w:tc>
          <w:tcPr>
            <w:tcW w:type="dxa" w:w="33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使用分數板重疊</w:t>
            </w:r>
          </w:p>
        </w:tc>
        <w:tc>
          <w:tcPr>
            <w:tcW w:type="dxa" w:w="3888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從操作轉成符號仍需支持</w:t>
            </w:r>
          </w:p>
        </w:tc>
      </w:tr>
    </w:tbl>
    <w:p>
      <w:pPr>
        <w:pStyle w:val="Heading1"/>
      </w:pPr>
      <w:r>
        <w:t>四、可用資源與限制</w:t>
      </w:r>
    </w:p>
    <w:p>
      <w:pPr>
        <w:pStyle w:val="ListBullet"/>
      </w:pPr>
      <w:r>
        <w:t>再次教學時間為 15 分鐘，對象為 8 位需要支持的學生。</w:t>
      </w:r>
    </w:p>
    <w:p>
      <w:pPr>
        <w:pStyle w:val="ListBullet"/>
      </w:pPr>
      <w:r>
        <w:t>可使用分數條、白板筆、投影畫面與兩人一組討論。</w:t>
      </w:r>
    </w:p>
    <w:p>
      <w:pPr>
        <w:pStyle w:val="ListBullet"/>
      </w:pPr>
      <w:r>
        <w:t>請避免加入來源資料未提供的學生個人背景。若有推測，必須標示為待確認。</w:t>
      </w:r>
    </w:p>
    <w:p>
      <w:pPr>
        <w:pStyle w:val="Heading1"/>
      </w:pPr>
      <w:r>
        <w:t>五、預期成品</w:t>
      </w:r>
    </w:p>
    <w:p>
      <w:pPr>
        <w:pStyle w:val="ListBullet"/>
      </w:pPr>
      <w:r>
        <w:t>以學習證據說明至少兩項可能的迷思概念。</w:t>
      </w:r>
    </w:p>
    <w:p>
      <w:pPr>
        <w:pStyle w:val="ListBullet"/>
      </w:pPr>
      <w:r>
        <w:t>列出 15 分鐘再次教學的時間、教師引導、學生任務與理解檢核。</w:t>
      </w:r>
    </w:p>
    <w:p>
      <w:pPr>
        <w:pStyle w:val="ListBullet"/>
      </w:pPr>
      <w:r>
        <w:t>設計 3 題離場卷與解答，並列出教師需要人工查核的項目。</w:t>
      </w:r>
    </w:p>
    <w:p>
      <w:pPr>
        <w:pStyle w:val="ListBullet"/>
      </w:pPr>
      <w:r>
        <w:t>在末段標示 AI 幻覺、假設或仍缺少的資訊。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1037" w:bottom="792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8296"/>
        <w:sz w:val="16"/>
      </w:rPr>
      <w:t>僅供研習模擬使用｜資料皆為虛構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8296"/>
        <w:sz w:val="16"/>
      </w:rPr>
      <w:t>GEMINI 教育工作流｜研習案例資料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 Unicode MS" w:hAnsi="Arial Unicode MS" w:eastAsia="Arial Unicode M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5FB8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344D83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1F3362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00" w:after="60"/>
    </w:pPr>
    <w:rPr>
      <w:rFonts w:asciiTheme="majorHAnsi" w:eastAsiaTheme="majorEastAsia" w:hAnsiTheme="majorHAnsi" w:cstheme="majorBidi" w:ascii="Arial Unicode MS" w:hAnsi="Arial Unicode MS" w:eastAsia="Arial Unicode MS"/>
      <w:b w:val="0"/>
      <w:i/>
      <w:iCs/>
      <w:color w:val="66708A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