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7128"/>
      </w:tblGrid>
      <w:tr>
        <w:tc>
          <w:tcPr>
            <w:tcW w:type="dxa" w:w="5083"/>
            <w:shd w:fill="3975E9"/>
            <w:tcMar>
              <w:top w:w="100" w:type="dxa"/>
              <w:start w:w="135" w:type="dxa"/>
              <w:bottom w:w="100" w:type="dxa"/>
              <w:end w:w="13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21"/>
              </w:rPr>
              <w:t>行政案例</w:t>
            </w:r>
          </w:p>
        </w:tc>
        <w:tc>
          <w:tcPr>
            <w:tcW w:type="dxa" w:w="5083"/>
            <w:shd w:fill="EEF3FF"/>
            <w:tcMar>
              <w:top w:w="100" w:type="dxa"/>
              <w:start w:w="135" w:type="dxa"/>
              <w:bottom w:w="100" w:type="dxa"/>
              <w:end w:w="135" w:type="dxa"/>
            </w:tcMar>
            <w:vAlign w:val="center"/>
          </w:tcPr>
          <w:p>
            <w:r>
              <w:rPr>
                <w:b/>
                <w:color w:val="1F3362"/>
                <w:sz w:val="28"/>
              </w:rPr>
              <w:t>國小｜到校關懷與學習支持工作背景</w:t>
            </w:r>
          </w:p>
        </w:tc>
      </w:tr>
    </w:tbl>
    <w:p>
      <w:pPr>
        <w:pStyle w:val="Subtitle"/>
      </w:pPr>
      <w:r>
        <w:t>情境：跨處室到校支持會議　｜　資料：全為虛構模擬</w:t>
      </w:r>
    </w:p>
    <w:p>
      <w:pPr>
        <w:pStyle w:val="Heading1"/>
      </w:pPr>
      <w:r>
        <w:t>一、任務情境</w:t>
      </w:r>
    </w:p>
    <w:p>
      <w:r>
        <w:t>學校近期發現部分學生到校情形不穩定，連帶影響早自習參與、學習任務完成與親師溝通。行政團隊希望整理現況，形成四週內可執行、可追蹤的到校關懷與學習支持行動方案。</w:t>
      </w:r>
    </w:p>
    <w:p>
      <w:pPr>
        <w:pStyle w:val="Heading1"/>
      </w:pPr>
      <w:r>
        <w:t>二、既有工作方式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1584"/>
            <w:shd w:fill="E8EEF5"/>
            <w:tcMar>
              <w:top w:w="45" w:type="dxa"/>
              <w:start w:w="105" w:type="dxa"/>
              <w:bottom w:w="45" w:type="dxa"/>
              <w:end w:w="105" w:type="dxa"/>
            </w:tcMar>
          </w:tcPr>
          <w:p>
            <w:r>
              <w:rPr>
                <w:b/>
                <w:color w:val="1F3362"/>
              </w:rPr>
              <w:t>角色</w:t>
            </w:r>
          </w:p>
        </w:tc>
        <w:tc>
          <w:tcPr>
            <w:tcW w:type="dxa" w:w="3816"/>
            <w:shd w:fill="E8EEF5"/>
            <w:tcMar>
              <w:top w:w="45" w:type="dxa"/>
              <w:start w:w="105" w:type="dxa"/>
              <w:bottom w:w="45" w:type="dxa"/>
              <w:end w:w="105" w:type="dxa"/>
            </w:tcMar>
          </w:tcPr>
          <w:p>
            <w:r>
              <w:rPr>
                <w:b/>
                <w:color w:val="1F3362"/>
              </w:rPr>
              <w:t>目前作法</w:t>
            </w:r>
          </w:p>
        </w:tc>
        <w:tc>
          <w:tcPr>
            <w:tcW w:type="dxa" w:w="3960"/>
            <w:shd w:fill="E8EEF5"/>
            <w:tcMar>
              <w:top w:w="45" w:type="dxa"/>
              <w:start w:w="105" w:type="dxa"/>
              <w:bottom w:w="45" w:type="dxa"/>
              <w:end w:w="105" w:type="dxa"/>
            </w:tcMar>
          </w:tcPr>
          <w:p>
            <w:r>
              <w:rPr>
                <w:b/>
                <w:color w:val="1F3362"/>
              </w:rPr>
              <w:t>已知限制</w:t>
            </w:r>
          </w:p>
        </w:tc>
      </w:tr>
      <w:tr>
        <w:tc>
          <w:tcPr>
            <w:tcW w:type="dxa" w:w="1584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導師</w:t>
            </w:r>
          </w:p>
        </w:tc>
        <w:tc>
          <w:tcPr>
            <w:tcW w:type="dxa" w:w="3816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每日點名並視情況聯絡家長</w:t>
            </w:r>
          </w:p>
        </w:tc>
        <w:tc>
          <w:tcPr>
            <w:tcW w:type="dxa" w:w="3960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聯絡紀錄格式不一致</w:t>
            </w:r>
          </w:p>
        </w:tc>
      </w:tr>
      <w:tr>
        <w:tc>
          <w:tcPr>
            <w:tcW w:type="dxa" w:w="1584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學務處</w:t>
            </w:r>
          </w:p>
        </w:tc>
        <w:tc>
          <w:tcPr>
            <w:tcW w:type="dxa" w:w="3816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彙整缺曠與遲到</w:t>
            </w:r>
          </w:p>
        </w:tc>
        <w:tc>
          <w:tcPr>
            <w:tcW w:type="dxa" w:w="3960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資料更新時間不同步</w:t>
            </w:r>
          </w:p>
        </w:tc>
      </w:tr>
      <w:tr>
        <w:tc>
          <w:tcPr>
            <w:tcW w:type="dxa" w:w="1584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輔導室</w:t>
            </w:r>
          </w:p>
        </w:tc>
        <w:tc>
          <w:tcPr>
            <w:tcW w:type="dxa" w:w="3816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依轉介進行個別關懷</w:t>
            </w:r>
          </w:p>
        </w:tc>
        <w:tc>
          <w:tcPr>
            <w:tcW w:type="dxa" w:w="3960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需避免從到校資料推論家庭原因</w:t>
            </w:r>
          </w:p>
        </w:tc>
      </w:tr>
      <w:tr>
        <w:tc>
          <w:tcPr>
            <w:tcW w:type="dxa" w:w="1584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教務處</w:t>
            </w:r>
          </w:p>
        </w:tc>
        <w:tc>
          <w:tcPr>
            <w:tcW w:type="dxa" w:w="3816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提供補學習與任務調整</w:t>
            </w:r>
          </w:p>
        </w:tc>
        <w:tc>
          <w:tcPr>
            <w:tcW w:type="dxa" w:w="3960"/>
            <w:tcMar>
              <w:top w:w="45" w:type="dxa"/>
              <w:start w:w="105" w:type="dxa"/>
              <w:bottom w:w="45" w:type="dxa"/>
              <w:end w:w="105" w:type="dxa"/>
            </w:tcMar>
            <w:vAlign w:val="center"/>
          </w:tcPr>
          <w:p>
            <w:r>
              <w:t>缺少共同的成效檢核指標</w:t>
            </w:r>
          </w:p>
        </w:tc>
      </w:tr>
    </w:tbl>
    <w:p>
      <w:pPr>
        <w:pStyle w:val="Heading1"/>
      </w:pPr>
      <w:r>
        <w:t>三、工作原則</w:t>
      </w:r>
    </w:p>
    <w:p>
      <w:pPr>
        <w:pStyle w:val="ListBullet"/>
      </w:pPr>
      <w:r>
        <w:t>學生資料僅供模擬，真實工作需遵守校內個資與資料存取規範。</w:t>
      </w:r>
    </w:p>
    <w:p>
      <w:pPr>
        <w:pStyle w:val="ListBullet"/>
      </w:pPr>
      <w:r>
        <w:t>先描述可觀察事實，再列出需要詢問的問題，不替學生或家庭貼標籤。</w:t>
      </w:r>
    </w:p>
    <w:p>
      <w:pPr>
        <w:pStyle w:val="ListBullet"/>
      </w:pPr>
      <w:r>
        <w:t>每項行動需有負責角色、完成期限與成效檢核方式。</w:t>
      </w:r>
    </w:p>
    <w:p>
      <w:pPr>
        <w:pStyle w:val="ListBullet"/>
      </w:pPr>
      <w:r>
        <w:t>對教職員的通知需使用支持性語氣，避免公開可辨識的學生資訊。</w:t>
      </w:r>
    </w:p>
    <w:p>
      <w:pPr>
        <w:pStyle w:val="Heading1"/>
      </w:pPr>
      <w:r>
        <w:t>四、可用資源</w:t>
      </w:r>
    </w:p>
    <w:p>
      <w:pPr>
        <w:pStyle w:val="ListBullet"/>
      </w:pPr>
      <w:r>
        <w:t>導師晨間關懷時段、每週跨處室會議、課後學習扶助與校內輔導資源。</w:t>
      </w:r>
    </w:p>
    <w:p>
      <w:pPr>
        <w:pStyle w:val="ListBullet"/>
      </w:pPr>
      <w:r>
        <w:t>可使用到校情形彙整資料與討論紀錄作為主要依據。</w:t>
      </w:r>
    </w:p>
    <w:p>
      <w:pPr>
        <w:pStyle w:val="ListBullet"/>
      </w:pPr>
      <w:r>
        <w:t>方案週期先設定為四週，第 2 週進行一次中期檢核。</w:t>
      </w:r>
    </w:p>
    <w:p>
      <w:pPr>
        <w:pStyle w:val="Heading1"/>
      </w:pPr>
      <w:r>
        <w:t>五、預期成品</w:t>
      </w:r>
    </w:p>
    <w:p>
      <w:pPr>
        <w:pStyle w:val="ListBullet"/>
      </w:pPr>
      <w:r>
        <w:t>區分已知觀察、合理待確認問題與不可從資料推論的內容。</w:t>
      </w:r>
    </w:p>
    <w:p>
      <w:pPr>
        <w:pStyle w:val="ListBullet"/>
      </w:pPr>
      <w:r>
        <w:t>提出短期行動，標示負責角色、期限與成效指標。</w:t>
      </w:r>
    </w:p>
    <w:p>
      <w:pPr>
        <w:pStyle w:val="ListBullet"/>
      </w:pPr>
      <w:r>
        <w:t>撰寫一則不含個資、可供教職員理解的通知。</w:t>
      </w:r>
    </w:p>
    <w:p>
      <w:pPr>
        <w:pStyle w:val="ListBullet"/>
      </w:pPr>
      <w:r>
        <w:t>列出行政人員需人工查核的法規、事實、名單與執行可行性。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35" w:right="1037" w:bottom="792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8296"/>
        <w:sz w:val="16"/>
      </w:rPr>
      <w:t>僅供研習模擬使用｜資料皆為虛構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788296"/>
        <w:sz w:val="16"/>
      </w:rPr>
      <w:t>GEMINI 教育工作流｜研習案例資料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Arial Unicode MS" w:hAnsi="Arial Unicode MS" w:eastAsia="Arial Unicode M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E5FB8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344D83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Arial Unicode MS" w:hAnsi="Arial Unicode MS" w:eastAsia="Arial Unicode MS"/>
      <w:b/>
      <w:color w:val="1F3362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100" w:after="60"/>
    </w:pPr>
    <w:rPr>
      <w:rFonts w:asciiTheme="majorHAnsi" w:eastAsiaTheme="majorEastAsia" w:hAnsiTheme="majorHAnsi" w:cstheme="majorBidi" w:ascii="Arial Unicode MS" w:hAnsi="Arial Unicode MS" w:eastAsia="Arial Unicode MS"/>
      <w:b w:val="0"/>
      <w:i/>
      <w:iCs/>
      <w:color w:val="66708A"/>
      <w:spacing w:val="15"/>
      <w:sz w:val="1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